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e regolamentazione circol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predisposizione di ordinanze temporanee e permanenti in materia di circolazione stradale, su richieste di cittadini e imprese private, ovvero, su richieste di altri uffici comunali e altri Enti istituzionali. Con l'adozione di tali provvedimenti e' possibile istituire in via temporanea o definitiva divieti di sosta, di transito, sensi unici alternati, restringimenti di carreggiata, al fine di migliorare la viabilita' urbana o per il soddisfacimento di specifiche esigenze di ordine temporane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